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ind w:right="1050" w:rightChars="500"/>
        <w:jc w:val="left"/>
        <w:rPr>
          <w:rFonts w:ascii="黑体" w:hAnsi="黑体" w:eastAsia="黑体" w:cs="方正仿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仿宋简体"/>
          <w:sz w:val="32"/>
          <w:szCs w:val="32"/>
        </w:rPr>
        <w:t>附件</w:t>
      </w:r>
    </w:p>
    <w:p>
      <w:pPr>
        <w:adjustRightInd w:val="0"/>
        <w:snapToGrid w:val="0"/>
        <w:spacing w:before="312" w:beforeLines="100" w:line="550" w:lineRule="exact"/>
        <w:ind w:right="1050" w:rightChars="500"/>
        <w:jc w:val="center"/>
        <w:rPr>
          <w:rFonts w:ascii="方正小标宋简体" w:hAnsi="仿宋" w:eastAsia="方正小标宋简体" w:cs="方正仿宋简体"/>
          <w:sz w:val="44"/>
          <w:szCs w:val="32"/>
        </w:rPr>
      </w:pPr>
      <w:r>
        <w:rPr>
          <w:rFonts w:hint="eastAsia" w:ascii="方正小标宋简体" w:hAnsi="仿宋" w:eastAsia="方正小标宋简体" w:cs="方正仿宋简体"/>
          <w:sz w:val="44"/>
          <w:szCs w:val="32"/>
        </w:rPr>
        <w:t>团体标准目录</w:t>
      </w:r>
    </w:p>
    <w:tbl>
      <w:tblPr>
        <w:tblStyle w:val="7"/>
        <w:tblW w:w="1461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3859"/>
        <w:gridCol w:w="5792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/>
                <w:sz w:val="32"/>
              </w:rPr>
              <w:t>序号</w:t>
            </w:r>
          </w:p>
        </w:tc>
        <w:tc>
          <w:tcPr>
            <w:tcW w:w="38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/>
                <w:sz w:val="32"/>
              </w:rPr>
              <w:t>标准编号及名称</w:t>
            </w:r>
          </w:p>
        </w:tc>
        <w:tc>
          <w:tcPr>
            <w:tcW w:w="57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/>
                <w:sz w:val="32"/>
              </w:rPr>
              <w:t>标准研制单位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/>
                <w:sz w:val="32"/>
              </w:rPr>
              <w:t>出版机构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/>
                <w:sz w:val="32"/>
              </w:rPr>
              <w:t>发布实施日期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T/CPSI 02301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—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2024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油田管材用聚乙烯（PE）树脂</w:t>
            </w:r>
          </w:p>
        </w:tc>
        <w:tc>
          <w:tcPr>
            <w:tcW w:w="5792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  <w:t>主编单位：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中国石油天然气股份有限公司石油化工研究院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  <w:t>参编单位：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spacing w:val="-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  <w:t>中国石油集团工程材料研究院有限公司、中国石油天然气股份有限公司长庆油田分公司、中国石油天然气股份有限公司吉林石化分公司、中国石油天然气股份有限公司玉门油田分公司、宝鸡石油钢管有限责任公司、中国石油天然气股份有限公司四川石化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石油工业出版社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2024/04/02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发布</w:t>
            </w:r>
          </w:p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val="en-US" w:eastAsia="zh-CN"/>
              </w:rPr>
              <w:t>6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/01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2</w:t>
            </w:r>
          </w:p>
        </w:tc>
        <w:tc>
          <w:tcPr>
            <w:tcW w:w="3859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T/CPSI 04201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—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2024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常规油气开发项目温室气体排放计算方法</w:t>
            </w:r>
          </w:p>
        </w:tc>
        <w:tc>
          <w:tcPr>
            <w:tcW w:w="5792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  <w:t>主编单位：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中海油研究总院有限责任公司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  <w:t>参编单位：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中国石油安全环保技术研究院、中石化节能技术服务有限公司、生态环境部环境工程评估中心、中国石油新疆油田分公司实验检测研究院、中国海洋石油集团有限公司节能减排监测中心、国家管网北方管道科技研究中心、中国石油华北油田公司、江苏万恒铸业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石油工业出版社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2024/04/02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发布</w:t>
            </w:r>
          </w:p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2024/06/01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3</w:t>
            </w:r>
          </w:p>
        </w:tc>
        <w:tc>
          <w:tcPr>
            <w:tcW w:w="3859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T/CPSI 01101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—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2024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石油天然气工业管道输送系统用球阀</w:t>
            </w:r>
          </w:p>
        </w:tc>
        <w:tc>
          <w:tcPr>
            <w:tcW w:w="5792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  <w:t>主编单位：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国家石油天然气管网集团有限公司科学技术研究总院分公司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  <w:t>参编单位：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  <w:t>成都成高阀门股份有限公司、国家管网集团西部管道有限责任公司、中国石油天然气管道工程有限公司、国家石油天然气管网集团有限公司生产部、兰州理工大学、国家石油天然气管网集团有限公司西气东输分公司、中国石油天然气股份有限公司西南油气田分公司、中国石油化工股份有限公司南京阀门供应储备中心、中海油研究总院有限责任公司、苏州纽威阀门股份有限公司、上海自动化仪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石油工业出版社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2024/04/02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发布</w:t>
            </w:r>
          </w:p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2024/06/01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4</w:t>
            </w:r>
          </w:p>
        </w:tc>
        <w:tc>
          <w:tcPr>
            <w:tcW w:w="3859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T/CPSI 01102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—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2024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油田小修作业管柱自动化处理设备</w:t>
            </w:r>
          </w:p>
        </w:tc>
        <w:tc>
          <w:tcPr>
            <w:tcW w:w="5792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  <w:t>主编单位：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胜利油田胜机石油装备有限公司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  <w:t>参编单位：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  <w:t>中国石化胜利油田分公司设备管理部、江苏万恒铸业有限公司、三一石油智能装备有限公司、浙江岩石机械检测有限公司、江苏恒达机械制造有限公司、南阳二机石油装备集团股份有限公司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石油工业出版社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2024/04/02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发布</w:t>
            </w:r>
          </w:p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2024/06/01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hint="eastAsia" w:ascii="方正仿宋简体" w:hAnsi="Times New Roman" w:eastAsia="方正仿宋简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val="en-US" w:eastAsia="zh-CN"/>
              </w:rPr>
              <w:t>5</w:t>
            </w:r>
          </w:p>
        </w:tc>
        <w:tc>
          <w:tcPr>
            <w:tcW w:w="3859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T/CPSI 05301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—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2024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油气管道企业应急能力评估规范</w:t>
            </w:r>
          </w:p>
        </w:tc>
        <w:tc>
          <w:tcPr>
            <w:tcW w:w="5792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  <w:t>主编单位：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  <w:t>国家管网集团东部原油储运有限公司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  <w:t>参编单位：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  <w:t>国家管网集团安全环保部、中国石油集团安全环保技术研究院、中国石化安全工程研究院有限公司、中海石油气电集团有限责任公司、中国石油大学（北京）、国家管网集团北方管道有限责任公司、中国石化胜利油田技术检测中心、山东省蓬渤安全环保服务有限公司、国家管网集团华南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石油工业出版社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2024/04/02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发布</w:t>
            </w:r>
          </w:p>
          <w:p>
            <w:pPr>
              <w:wordWrap w:val="0"/>
              <w:topLinePunct/>
              <w:adjustRightInd w:val="0"/>
              <w:snapToGrid w:val="0"/>
              <w:jc w:val="center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2024/06/01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hint="eastAsia" w:ascii="方正仿宋简体" w:hAnsi="Times New Roman" w:eastAsia="方正仿宋简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val="en-US" w:eastAsia="zh-CN"/>
              </w:rPr>
              <w:t>6</w:t>
            </w:r>
          </w:p>
        </w:tc>
        <w:tc>
          <w:tcPr>
            <w:tcW w:w="3859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T/CPSI 06401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—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2024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钻井液用加重剂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甲酸盐类</w:t>
            </w:r>
          </w:p>
        </w:tc>
        <w:tc>
          <w:tcPr>
            <w:tcW w:w="5792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  <w:t>主编单位：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  <w:t>中海油能源发展股份有限公司工程技术湛江分公司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  <w:t>参编单位：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pacing w:val="-2"/>
                <w:sz w:val="32"/>
                <w:szCs w:val="28"/>
              </w:rPr>
              <w:t>石油工业油井水泥及外加剂质量监督检验中心、中石油渤海钻探泥浆服务公司、中海石油（中国）有限公司湛江分公司、中石油长城钻探工程有限公司钻井液公司、石油工业入井流体质量监督检验中心、中石化中原油田分公司技术监测中心、河北华运鸿业化工有限公司、中国石油集团工程技术研究院、中海油田服务股份有限公司油田化学事业部、北京培康佳业技术发展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石油工业出版社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2024/04/02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发布</w:t>
            </w:r>
          </w:p>
          <w:p>
            <w:pPr>
              <w:wordWrap w:val="0"/>
              <w:topLinePunct/>
              <w:adjustRightInd w:val="0"/>
              <w:snapToGrid w:val="0"/>
              <w:jc w:val="center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2024/06/01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hint="eastAsia" w:ascii="方正仿宋简体" w:hAnsi="Times New Roman" w:eastAsia="方正仿宋简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val="en-US" w:eastAsia="zh-CN"/>
              </w:rPr>
              <w:t>7</w:t>
            </w:r>
          </w:p>
        </w:tc>
        <w:tc>
          <w:tcPr>
            <w:tcW w:w="3859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T/CPSI 01103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—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2024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钻机电控系统再制造升级技术规范</w:t>
            </w:r>
          </w:p>
        </w:tc>
        <w:tc>
          <w:tcPr>
            <w:tcW w:w="5792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  <w:t>主编单位：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 w:val="0"/>
                <w:bCs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/>
                <w:sz w:val="32"/>
                <w:szCs w:val="28"/>
              </w:rPr>
              <w:t>宝鸡石油机械有限责任公司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  <w:t>参编单位：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/>
                <w:sz w:val="32"/>
                <w:szCs w:val="28"/>
              </w:rPr>
              <w:t>西安宝美电气工业有限公司、西部钻探国际工程公司、烟台哈尔滨工程大学研究院、武汉科技大学、北京石油机械有限公司、四川宏华电气有限责任公司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石油工业出版社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2024/04/02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发布</w:t>
            </w:r>
          </w:p>
          <w:p>
            <w:pPr>
              <w:wordWrap w:val="0"/>
              <w:topLinePunct/>
              <w:adjustRightInd w:val="0"/>
              <w:snapToGrid w:val="0"/>
              <w:jc w:val="center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2024/06/01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hint="eastAsia" w:ascii="方正仿宋简体" w:hAnsi="Times New Roman" w:eastAsia="方正仿宋简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val="en-US" w:eastAsia="zh-CN"/>
              </w:rPr>
              <w:t>8</w:t>
            </w:r>
          </w:p>
        </w:tc>
        <w:tc>
          <w:tcPr>
            <w:tcW w:w="3859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T/CPSI 01304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—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2024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石油天然气工业用交联聚乙烯（PEX）管</w:t>
            </w:r>
          </w:p>
        </w:tc>
        <w:tc>
          <w:tcPr>
            <w:tcW w:w="5792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ascii="方正仿宋简体" w:hAnsi="Times New Roman" w:eastAsia="方正仿宋简体" w:cs="Times New Roman"/>
                <w:b/>
                <w:sz w:val="32"/>
                <w:szCs w:val="28"/>
              </w:rPr>
              <w:t>主编单位：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b w:val="0"/>
                <w:bCs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/>
                <w:sz w:val="32"/>
                <w:szCs w:val="28"/>
              </w:rPr>
              <w:t>中国石油集团工程材料研究院有限公司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28"/>
              </w:rPr>
              <w:t>参编单位：</w:t>
            </w:r>
          </w:p>
          <w:p>
            <w:pPr>
              <w:wordWrap w:val="0"/>
              <w:topLinePunct/>
              <w:adjustRightInd w:val="0"/>
              <w:snapToGrid w:val="0"/>
              <w:rPr>
                <w:rFonts w:hint="eastAsia" w:ascii="方正仿宋简体" w:hAnsi="Times New Roman" w:eastAsia="方正仿宋简体" w:cs="Times New Roman"/>
                <w:b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/>
                <w:sz w:val="32"/>
                <w:szCs w:val="28"/>
              </w:rPr>
              <w:t>中国石油天然气股份有限公司石油化工研究院、威海联桥新材料科技股份有限公司、中国石油化工西北油田分公司、中国石油天然气股份有限公司长庆油田分公司、陕西延长石油西北橡胶有限责任公司、昆仑能源有限公司、新疆中石油管业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ascii="方正仿宋简体" w:hAnsi="Times New Roman" w:eastAsia="方正仿宋简体" w:cs="Times New Roman"/>
                <w:sz w:val="32"/>
                <w:szCs w:val="28"/>
              </w:rPr>
              <w:t>石油工业出版社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ordWrap w:val="0"/>
              <w:topLinePunct/>
              <w:adjustRightInd w:val="0"/>
              <w:snapToGrid w:val="0"/>
              <w:jc w:val="center"/>
              <w:rPr>
                <w:rFonts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2024/04/02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发布</w:t>
            </w:r>
          </w:p>
          <w:p>
            <w:pPr>
              <w:wordWrap w:val="0"/>
              <w:topLinePunct/>
              <w:adjustRightInd w:val="0"/>
              <w:snapToGrid w:val="0"/>
              <w:jc w:val="center"/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  <w:lang w:eastAsia="zh-CN"/>
              </w:rPr>
              <w:t>2024/06/01</w:t>
            </w:r>
            <w:r>
              <w:rPr>
                <w:rFonts w:hint="eastAsia" w:ascii="方正仿宋简体" w:hAnsi="Times New Roman" w:eastAsia="方正仿宋简体" w:cs="Times New Roman"/>
                <w:sz w:val="32"/>
                <w:szCs w:val="28"/>
              </w:rPr>
              <w:t>实施</w:t>
            </w:r>
          </w:p>
        </w:tc>
      </w:tr>
    </w:tbl>
    <w:p>
      <w:pPr>
        <w:adjustRightInd w:val="0"/>
        <w:snapToGrid w:val="0"/>
        <w:spacing w:line="550" w:lineRule="exact"/>
        <w:ind w:right="1050" w:rightChars="500"/>
        <w:rPr>
          <w:rFonts w:ascii="方正仿宋简体" w:hAnsi="仿宋" w:eastAsia="方正仿宋简体" w:cs="方正仿宋简体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rFonts w:ascii="方正仿宋简体" w:hAnsi="方正仿宋简体" w:eastAsia="方正仿宋简体"/>
        <w:sz w:val="28"/>
      </w:rPr>
    </w:pPr>
    <w:r>
      <w:rPr>
        <w:rFonts w:hint="eastAsia" w:ascii="方正仿宋简体" w:hAnsi="方正仿宋简体" w:eastAsia="方正仿宋简体"/>
        <w:sz w:val="28"/>
      </w:rPr>
      <w:t>—</w:t>
    </w:r>
    <w:r>
      <w:rPr>
        <w:rFonts w:ascii="方正仿宋简体" w:hAnsi="方正仿宋简体" w:eastAsia="方正仿宋简体"/>
        <w:sz w:val="28"/>
      </w:rPr>
      <w:t xml:space="preserve"> </w:t>
    </w:r>
    <w:r>
      <w:rPr>
        <w:rFonts w:ascii="方正仿宋简体" w:hAnsi="方正仿宋简体" w:eastAsia="方正仿宋简体"/>
        <w:sz w:val="28"/>
      </w:rPr>
      <w:fldChar w:fldCharType="begin"/>
    </w:r>
    <w:r>
      <w:rPr>
        <w:rFonts w:ascii="方正仿宋简体" w:hAnsi="方正仿宋简体" w:eastAsia="方正仿宋简体"/>
        <w:sz w:val="28"/>
      </w:rPr>
      <w:instrText xml:space="preserve"> PAGE \* Arabic \* MERGEFORMAT </w:instrText>
    </w:r>
    <w:r>
      <w:rPr>
        <w:rFonts w:ascii="方正仿宋简体" w:hAnsi="方正仿宋简体" w:eastAsia="方正仿宋简体"/>
        <w:sz w:val="28"/>
      </w:rPr>
      <w:fldChar w:fldCharType="separate"/>
    </w:r>
    <w:r>
      <w:rPr>
        <w:rFonts w:ascii="方正仿宋简体" w:hAnsi="方正仿宋简体" w:eastAsia="方正仿宋简体"/>
        <w:sz w:val="28"/>
      </w:rPr>
      <w:t>3</w:t>
    </w:r>
    <w:r>
      <w:rPr>
        <w:rFonts w:ascii="方正仿宋简体" w:hAnsi="方正仿宋简体" w:eastAsia="方正仿宋简体"/>
        <w:sz w:val="28"/>
      </w:rPr>
      <w:fldChar w:fldCharType="end"/>
    </w:r>
    <w:r>
      <w:rPr>
        <w:rFonts w:ascii="方正仿宋简体" w:hAnsi="方正仿宋简体" w:eastAsia="方正仿宋简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方正仿宋简体" w:hAnsi="方正仿宋简体" w:eastAsia="方正仿宋简体"/>
        <w:sz w:val="28"/>
      </w:rPr>
    </w:pPr>
    <w:r>
      <w:rPr>
        <w:rFonts w:hint="eastAsia" w:ascii="方正仿宋简体" w:hAnsi="方正仿宋简体" w:eastAsia="方正仿宋简体"/>
        <w:sz w:val="28"/>
      </w:rPr>
      <w:t>—</w:t>
    </w:r>
    <w:r>
      <w:rPr>
        <w:rFonts w:ascii="方正仿宋简体" w:hAnsi="方正仿宋简体" w:eastAsia="方正仿宋简体"/>
        <w:sz w:val="28"/>
      </w:rPr>
      <w:t xml:space="preserve"> </w:t>
    </w:r>
    <w:r>
      <w:rPr>
        <w:rFonts w:ascii="方正仿宋简体" w:hAnsi="方正仿宋简体" w:eastAsia="方正仿宋简体"/>
        <w:sz w:val="28"/>
      </w:rPr>
      <w:fldChar w:fldCharType="begin"/>
    </w:r>
    <w:r>
      <w:rPr>
        <w:rFonts w:ascii="方正仿宋简体" w:hAnsi="方正仿宋简体" w:eastAsia="方正仿宋简体"/>
        <w:sz w:val="28"/>
      </w:rPr>
      <w:instrText xml:space="preserve"> PAGE \* Arabic \* MERGEFORMAT </w:instrText>
    </w:r>
    <w:r>
      <w:rPr>
        <w:rFonts w:ascii="方正仿宋简体" w:hAnsi="方正仿宋简体" w:eastAsia="方正仿宋简体"/>
        <w:sz w:val="28"/>
      </w:rPr>
      <w:fldChar w:fldCharType="separate"/>
    </w:r>
    <w:r>
      <w:rPr>
        <w:rFonts w:ascii="方正仿宋简体" w:hAnsi="方正仿宋简体" w:eastAsia="方正仿宋简体"/>
        <w:sz w:val="28"/>
      </w:rPr>
      <w:t>2</w:t>
    </w:r>
    <w:r>
      <w:rPr>
        <w:rFonts w:ascii="方正仿宋简体" w:hAnsi="方正仿宋简体" w:eastAsia="方正仿宋简体"/>
        <w:sz w:val="28"/>
      </w:rPr>
      <w:fldChar w:fldCharType="end"/>
    </w:r>
    <w:r>
      <w:rPr>
        <w:rFonts w:ascii="方正仿宋简体" w:hAnsi="方正仿宋简体" w:eastAsia="方正仿宋简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RhZGNlMTFjOTQyNGMyOWZlNGY3YTI3N2ZhMmQifQ=="/>
  </w:docVars>
  <w:rsids>
    <w:rsidRoot w:val="00172A27"/>
    <w:rsid w:val="00362F64"/>
    <w:rsid w:val="00AA4E31"/>
    <w:rsid w:val="00CA1454"/>
    <w:rsid w:val="00CC40F3"/>
    <w:rsid w:val="15FD5162"/>
    <w:rsid w:val="2C2F1C6D"/>
    <w:rsid w:val="6B31023E"/>
    <w:rsid w:val="6E5B7F92"/>
    <w:rsid w:val="6F0B1D02"/>
    <w:rsid w:val="7DD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autoRedefine/>
    <w:qFormat/>
    <w:uiPriority w:val="0"/>
    <w:rPr>
      <w:rFonts w:ascii="Calibri" w:hAnsi="Calibri" w:cs="宋体"/>
      <w:kern w:val="2"/>
      <w:sz w:val="21"/>
      <w:szCs w:val="22"/>
    </w:rPr>
  </w:style>
  <w:style w:type="character" w:customStyle="1" w:styleId="14">
    <w:name w:val="批注框文本 字符"/>
    <w:basedOn w:val="8"/>
    <w:link w:val="3"/>
    <w:uiPriority w:val="0"/>
    <w:rPr>
      <w:rFonts w:ascii="Calibri" w:hAnsi="Calibri" w:cs="宋体"/>
      <w:kern w:val="2"/>
      <w:sz w:val="18"/>
      <w:szCs w:val="18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170</Words>
  <Characters>970</Characters>
  <Lines>8</Lines>
  <Paragraphs>2</Paragraphs>
  <TotalTime>3</TotalTime>
  <ScaleCrop>false</ScaleCrop>
  <LinksUpToDate>false</LinksUpToDate>
  <CharactersWithSpaces>1138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2022-05-30T08:38:00Z</dcterms:created>
  <dc:creator>Windows 用户</dc:creator>
  <cp:lastModifiedBy>薄荷糖的夏天</cp:lastModifiedBy>
  <cp:lastPrinted>2022-05-20T02:52:00Z</cp:lastPrinted>
  <dcterms:modified xsi:type="dcterms:W3CDTF">2024-04-03T02:40:32Z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85AA8257C95D4D42AEDC76308934DCD4_13</vt:lpwstr>
  </property>
</Properties>
</file>